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Aidan’s and St John Fisher Associated Sixth Form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p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>
            <w:pPr>
              <w:jc w:val="center"/>
            </w:pP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Topic(s):</w:t>
            </w:r>
          </w:p>
          <w:p>
            <w:pPr>
              <w:rPr>
                <w:b/>
              </w:rPr>
            </w:pPr>
            <w:r>
              <w:rPr>
                <w:b/>
              </w:rPr>
              <w:t>Britain in 1951</w:t>
            </w:r>
          </w:p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Independent Learning Task(s) to Complete:</w:t>
            </w:r>
          </w:p>
          <w:p>
            <w:pPr>
              <w:rPr>
                <w:b/>
              </w:rPr>
            </w:pPr>
          </w:p>
          <w:p>
            <w:r>
              <w:t xml:space="preserve">For British History: </w:t>
            </w:r>
          </w:p>
          <w:p/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Paper 2: The Making of Modern Britain, 1951-2007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following tasks </w:t>
            </w:r>
            <w:proofErr w:type="gramStart"/>
            <w:r>
              <w:rPr>
                <w:sz w:val="28"/>
                <w:szCs w:val="28"/>
              </w:rPr>
              <w:t>should be completed</w:t>
            </w:r>
            <w:proofErr w:type="gramEnd"/>
            <w:r>
              <w:rPr>
                <w:sz w:val="28"/>
                <w:szCs w:val="28"/>
              </w:rPr>
              <w:t xml:space="preserve"> by September. They offer you an introduction to the British History part of the course, and, in particular, an overview of Britain at the beginning of the 1950s.</w:t>
            </w:r>
          </w:p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Task One</w:t>
            </w:r>
          </w:p>
          <w:p>
            <w:pPr>
              <w:rPr>
                <w:b/>
                <w:sz w:val="28"/>
                <w:szCs w:val="28"/>
                <w:u w:val="single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the article: Roland Quinault, Britain in 1950 in </w:t>
            </w:r>
            <w:hyperlink r:id="rId7" w:history="1">
              <w:r>
                <w:rPr>
                  <w:rStyle w:val="Hyperlink"/>
                  <w:sz w:val="28"/>
                  <w:szCs w:val="28"/>
                </w:rPr>
                <w:t>www.historytoday.com</w:t>
              </w:r>
            </w:hyperlink>
            <w:r>
              <w:rPr>
                <w:sz w:val="28"/>
                <w:szCs w:val="28"/>
              </w:rPr>
              <w:t>. Summarise the main aspects of the article in no more than 3 sides of A4.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help you take notes it is best to read one paragraph at a time. Pick out the main point or focus of the paragraph. Then support it with some precise and brief evidence.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Two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 word document, “The Legacy of the Attlee Government and the Post War Consensus”.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the following questions: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what is meant by the phrase, “the mixed economy”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was “the Welfare State”? Explain 3 key of its parts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in your own words why the Conservatives, under Churchill, came to accept many of the policies that Labour under Attlee had introduced after 1945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</w:t>
            </w:r>
            <w:proofErr w:type="gramStart"/>
            <w:r>
              <w:rPr>
                <w:sz w:val="28"/>
                <w:szCs w:val="28"/>
              </w:rPr>
              <w:t>is meant</w:t>
            </w:r>
            <w:proofErr w:type="gramEnd"/>
            <w:r>
              <w:rPr>
                <w:sz w:val="28"/>
                <w:szCs w:val="28"/>
              </w:rPr>
              <w:t xml:space="preserve"> by the phrase, “the post war consensus”?</w:t>
            </w:r>
          </w:p>
          <w:p/>
          <w:p/>
          <w:p/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How it links to the Specification:</w:t>
            </w:r>
          </w:p>
          <w:p>
            <w:r>
              <w:t xml:space="preserve">British History: sets the scene for Paper 2, the Making of Modern Britain, with an investigation into Britain in 1951 and the years preceding it. </w:t>
            </w:r>
          </w:p>
          <w:p/>
          <w:p/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Resources (include any hyperlinks):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pStyle w:val="ListParagraph"/>
            </w:pP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>
            <w:pPr>
              <w:rPr>
                <w:b/>
              </w:rPr>
            </w:pPr>
          </w:p>
          <w:p/>
          <w:p/>
          <w:p>
            <w:r>
              <w:t>Students should also complete the Russian</w:t>
            </w:r>
            <w:bookmarkStart w:id="0" w:name="_GoBack"/>
            <w:bookmarkEnd w:id="0"/>
            <w:r>
              <w:t xml:space="preserve"> History transition work</w:t>
            </w:r>
          </w:p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Deadline:  </w:t>
            </w:r>
          </w:p>
          <w:p/>
          <w:p>
            <w:r>
              <w:lastRenderedPageBreak/>
              <w:t>5 September 2019</w:t>
            </w:r>
          </w:p>
          <w:p/>
        </w:tc>
      </w:tr>
    </w:tbl>
    <w:p/>
    <w:sectPr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inline distT="0" distB="0" distL="0" distR="0">
          <wp:extent cx="562102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73B"/>
    <w:multiLevelType w:val="hybridMultilevel"/>
    <w:tmpl w:val="E3781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632A"/>
    <w:multiLevelType w:val="hybridMultilevel"/>
    <w:tmpl w:val="3E38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E94"/>
    <w:multiLevelType w:val="hybridMultilevel"/>
    <w:tmpl w:val="5ED8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61C38"/>
    <w:multiLevelType w:val="hybridMultilevel"/>
    <w:tmpl w:val="6B98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storytod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69A58B87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GREENWOOD</dc:creator>
  <cp:keywords/>
  <dc:description/>
  <cp:lastModifiedBy>Helen Hendry</cp:lastModifiedBy>
  <cp:revision>3</cp:revision>
  <dcterms:created xsi:type="dcterms:W3CDTF">2019-05-24T13:58:00Z</dcterms:created>
  <dcterms:modified xsi:type="dcterms:W3CDTF">2019-05-24T13:58:00Z</dcterms:modified>
</cp:coreProperties>
</file>